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F3" w:rsidRDefault="00F92E05" w:rsidP="004918F3">
      <w:pPr>
        <w:spacing w:before="120" w:after="150" w:line="360" w:lineRule="atLeast"/>
        <w:jc w:val="center"/>
        <w:rPr>
          <w:rFonts w:ascii="Book Antiqua" w:eastAsia="Times New Roman" w:hAnsi="Book Antiqua" w:cs="Times New Roman"/>
          <w:b/>
          <w:sz w:val="24"/>
          <w:lang w:eastAsia="pl-PL"/>
        </w:rPr>
      </w:pPr>
      <w:r w:rsidRPr="002F58B6">
        <w:rPr>
          <w:rFonts w:ascii="Book Antiqua" w:eastAsia="Times New Roman" w:hAnsi="Book Antiqua" w:cs="Times New Roman"/>
          <w:b/>
          <w:sz w:val="24"/>
          <w:lang w:eastAsia="pl-PL"/>
        </w:rPr>
        <w:t>Interpretacja</w:t>
      </w:r>
      <w:r w:rsidR="004918F3">
        <w:rPr>
          <w:rFonts w:ascii="Book Antiqua" w:eastAsia="Times New Roman" w:hAnsi="Book Antiqua" w:cs="Times New Roman"/>
          <w:b/>
          <w:sz w:val="24"/>
          <w:lang w:eastAsia="pl-PL"/>
        </w:rPr>
        <w:t xml:space="preserve"> ogólna </w:t>
      </w:r>
      <w:r w:rsidR="004918F3" w:rsidRPr="004918F3">
        <w:rPr>
          <w:rFonts w:ascii="Book Antiqua" w:eastAsia="Times New Roman" w:hAnsi="Book Antiqua" w:cs="Times New Roman"/>
          <w:b/>
          <w:sz w:val="24"/>
          <w:lang w:eastAsia="pl-PL"/>
        </w:rPr>
        <w:t>Minist</w:t>
      </w:r>
      <w:r w:rsidR="004918F3">
        <w:rPr>
          <w:rFonts w:ascii="Book Antiqua" w:eastAsia="Times New Roman" w:hAnsi="Book Antiqua" w:cs="Times New Roman"/>
          <w:b/>
          <w:sz w:val="24"/>
          <w:lang w:eastAsia="pl-PL"/>
        </w:rPr>
        <w:t>ra</w:t>
      </w:r>
      <w:r w:rsidR="004918F3" w:rsidRPr="004918F3">
        <w:rPr>
          <w:rFonts w:ascii="Book Antiqua" w:eastAsia="Times New Roman" w:hAnsi="Book Antiqua" w:cs="Times New Roman"/>
          <w:b/>
          <w:sz w:val="24"/>
          <w:lang w:eastAsia="pl-PL"/>
        </w:rPr>
        <w:t xml:space="preserve"> Finansów</w:t>
      </w:r>
      <w:r w:rsidR="004918F3">
        <w:rPr>
          <w:rFonts w:ascii="Book Antiqua" w:eastAsia="Times New Roman" w:hAnsi="Book Antiqua" w:cs="Times New Roman"/>
          <w:b/>
          <w:sz w:val="24"/>
          <w:lang w:eastAsia="pl-PL"/>
        </w:rPr>
        <w:t xml:space="preserve"> </w:t>
      </w:r>
      <w:r w:rsidR="00C30BDA">
        <w:rPr>
          <w:rFonts w:ascii="Book Antiqua" w:eastAsia="Times New Roman" w:hAnsi="Book Antiqua" w:cs="Times New Roman"/>
          <w:b/>
          <w:sz w:val="24"/>
          <w:lang w:eastAsia="pl-PL"/>
        </w:rPr>
        <w:br/>
      </w:r>
      <w:r w:rsidR="004918F3" w:rsidRPr="004918F3">
        <w:rPr>
          <w:rFonts w:ascii="Book Antiqua" w:eastAsia="Times New Roman" w:hAnsi="Book Antiqua" w:cs="Times New Roman"/>
          <w:b/>
          <w:sz w:val="24"/>
          <w:lang w:eastAsia="pl-PL"/>
        </w:rPr>
        <w:t>z dnia 5 września 2014 r.</w:t>
      </w:r>
      <w:r w:rsidR="00C30BDA">
        <w:rPr>
          <w:rFonts w:ascii="Book Antiqua" w:eastAsia="Times New Roman" w:hAnsi="Book Antiqua" w:cs="Times New Roman"/>
          <w:b/>
          <w:sz w:val="24"/>
          <w:lang w:eastAsia="pl-PL"/>
        </w:rPr>
        <w:t xml:space="preserve">, znak: </w:t>
      </w:r>
      <w:r w:rsidR="004918F3" w:rsidRPr="004918F3">
        <w:rPr>
          <w:rFonts w:ascii="Book Antiqua" w:eastAsia="Times New Roman" w:hAnsi="Book Antiqua" w:cs="Times New Roman"/>
          <w:b/>
          <w:sz w:val="24"/>
          <w:lang w:eastAsia="pl-PL"/>
        </w:rPr>
        <w:t>DD2/033/55/KBF/14/RD-75000</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r w:rsidRPr="00C30BDA">
        <w:rPr>
          <w:rFonts w:ascii="Book Antiqua" w:hAnsi="Book Antiqua"/>
          <w:sz w:val="22"/>
          <w:szCs w:val="22"/>
        </w:rPr>
        <w:t>Na podstawie </w:t>
      </w:r>
      <w:hyperlink r:id="rId7" w:anchor="/document/16799056?unitId=art(14(a))par(1)&amp;cm=DOCUMENT" w:history="1">
        <w:r w:rsidRPr="00C30BDA">
          <w:rPr>
            <w:rFonts w:ascii="Book Antiqua" w:hAnsi="Book Antiqua"/>
            <w:sz w:val="22"/>
            <w:szCs w:val="22"/>
          </w:rPr>
          <w:t>art. 14a § 1</w:t>
        </w:r>
      </w:hyperlink>
      <w:r w:rsidRPr="00C30BDA">
        <w:rPr>
          <w:rFonts w:ascii="Book Antiqua" w:hAnsi="Book Antiqua"/>
          <w:sz w:val="22"/>
          <w:szCs w:val="22"/>
        </w:rPr>
        <w:t xml:space="preserve"> ustawy z dnia 29 sierpnia 1997 r. - Ordynacja podatkowa (Dz. U. z 2012 r. poz. 749, z </w:t>
      </w:r>
      <w:proofErr w:type="spellStart"/>
      <w:r w:rsidRPr="00C30BDA">
        <w:rPr>
          <w:rFonts w:ascii="Book Antiqua" w:hAnsi="Book Antiqua"/>
          <w:sz w:val="22"/>
          <w:szCs w:val="22"/>
        </w:rPr>
        <w:t>późn</w:t>
      </w:r>
      <w:proofErr w:type="spellEnd"/>
      <w:r w:rsidRPr="00C30BDA">
        <w:rPr>
          <w:rFonts w:ascii="Book Antiqua" w:hAnsi="Book Antiqua"/>
          <w:sz w:val="22"/>
          <w:szCs w:val="22"/>
        </w:rPr>
        <w:t>. zm.), w celu zapewnienia jednolitego stosowania przepisów prawa podatkowego przez organy podatkowe oraz organy kontroli skarbowej w zakresie kwalifikacji do źródła przychodów wynagrodzenia z tytułu udostępniania, poza działalnością gospodarczą, powierzchni na stronie internetowej zarządzanej przez osobę fizyczną, przekazuję następujące wyjaśnienia.</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hyperlink r:id="rId8" w:anchor="/document/16794311?cm=DOCUMENT" w:history="1">
        <w:r w:rsidRPr="00C30BDA">
          <w:rPr>
            <w:rFonts w:ascii="Book Antiqua" w:hAnsi="Book Antiqua"/>
            <w:sz w:val="22"/>
            <w:szCs w:val="22"/>
          </w:rPr>
          <w:t>Ustawa</w:t>
        </w:r>
      </w:hyperlink>
      <w:r w:rsidRPr="00C30BDA">
        <w:rPr>
          <w:rFonts w:ascii="Book Antiqua" w:hAnsi="Book Antiqua"/>
          <w:sz w:val="22"/>
          <w:szCs w:val="22"/>
        </w:rPr>
        <w:t xml:space="preserve"> z dnia 26 lipca 1991 r. o podatku dochodowym od osób fizycznych (Dz. U. z 2012 r. poz. 361, z </w:t>
      </w:r>
      <w:proofErr w:type="spellStart"/>
      <w:r w:rsidRPr="00C30BDA">
        <w:rPr>
          <w:rFonts w:ascii="Book Antiqua" w:hAnsi="Book Antiqua"/>
          <w:sz w:val="22"/>
          <w:szCs w:val="22"/>
        </w:rPr>
        <w:t>późn</w:t>
      </w:r>
      <w:proofErr w:type="spellEnd"/>
      <w:r w:rsidRPr="00C30BDA">
        <w:rPr>
          <w:rFonts w:ascii="Book Antiqua" w:hAnsi="Book Antiqua"/>
          <w:sz w:val="22"/>
          <w:szCs w:val="22"/>
        </w:rPr>
        <w:t>. zm.), zwana dalej "ustawą PIT", zawiera w </w:t>
      </w:r>
      <w:hyperlink r:id="rId9" w:anchor="/document/16794311?unitId=art(10)ust(1)&amp;cm=DOCUMENT" w:history="1">
        <w:r w:rsidRPr="00C30BDA">
          <w:rPr>
            <w:rFonts w:ascii="Book Antiqua" w:hAnsi="Book Antiqua"/>
            <w:sz w:val="22"/>
            <w:szCs w:val="22"/>
          </w:rPr>
          <w:t>art. 10 ust. 1</w:t>
        </w:r>
      </w:hyperlink>
      <w:r w:rsidRPr="00C30BDA">
        <w:rPr>
          <w:rFonts w:ascii="Book Antiqua" w:hAnsi="Book Antiqua"/>
          <w:sz w:val="22"/>
          <w:szCs w:val="22"/>
        </w:rPr>
        <w:t> katalog źródeł przychodów, z których dochody podlegają opodatkowaniu według zasad określonych dla danego źródła przychodów.</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r w:rsidRPr="00C30BDA">
        <w:rPr>
          <w:rFonts w:ascii="Book Antiqua" w:hAnsi="Book Antiqua"/>
          <w:sz w:val="22"/>
          <w:szCs w:val="22"/>
        </w:rPr>
        <w:t>Do źródła przychodów określonego w </w:t>
      </w:r>
      <w:hyperlink r:id="rId10" w:anchor="/document/16794311?unitId=art(10)ust(1)pkt(6)&amp;cm=DOCUMENT" w:history="1">
        <w:r w:rsidRPr="00C30BDA">
          <w:rPr>
            <w:rFonts w:ascii="Book Antiqua" w:hAnsi="Book Antiqua"/>
            <w:sz w:val="22"/>
            <w:szCs w:val="22"/>
          </w:rPr>
          <w:t>art. 10 ust. 1 pkt 6</w:t>
        </w:r>
      </w:hyperlink>
      <w:r w:rsidRPr="00C30BDA">
        <w:rPr>
          <w:rFonts w:ascii="Book Antiqua" w:hAnsi="Book Antiqua"/>
          <w:sz w:val="22"/>
          <w:szCs w:val="22"/>
        </w:rPr>
        <w:t> ustawy PIT zaliczane są przychody z najmu, podnajmu, dzierżawy, poddzierżawy oraz innych umów o podobnym charakterze, z wyjątkiem składników majątku związanych z działalnością gospodarczą. Do tego źródła przychodów zaliczane są zatem przychody uzyskiwane poza działalnością gospodarczą przez osoby fizyczne na podstawie umów nazwanych: najmu oraz dzierżawy, ale również umów nienazwanych, które mają podobny charakter do najmu lub dzierżawy.</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r w:rsidRPr="00C30BDA">
        <w:rPr>
          <w:rFonts w:ascii="Book Antiqua" w:hAnsi="Book Antiqua"/>
          <w:sz w:val="22"/>
          <w:szCs w:val="22"/>
        </w:rPr>
        <w:t>W związku z powyższym, przy kwalifikacji przychodów z tytułu udostępniania za wynagrodzeniem powierzchni na stronie internetowej, zarządzanej przez osobę fizyczną, m.in. w celach reklamowych, istotne znaczenie ma określenie charakteru umowy zawieranej w takiej sytuacji.</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r w:rsidRPr="00C30BDA">
        <w:rPr>
          <w:rFonts w:ascii="Book Antiqua" w:hAnsi="Book Antiqua"/>
          <w:sz w:val="22"/>
          <w:szCs w:val="22"/>
        </w:rPr>
        <w:t>W dotychczas prezentowanym stanowisku Ministerstwa Finansów wskazywano, że umowa stanowiąca podstawę do udostępniania za wynagrodzeniem powierzchni na stronie internetowej, m.in. w celach reklamowych, jest umową nienazwaną, której nie można jednoznacznie przypisać cech umowy najmu lub dzierżawy. Cechą konstytutywną umowy najmu jest wydanie rzeczy do używania, a umowy dzierżawy - wydanie rzeczy lub prawa do używania i pobierania pożytków. Strona internetowa nie jest przedmiotem materialnym, a zatem nie jest rzeczą. Trudno jest również jednoznacznie stwierdzić, że jest to prawo. W konsekwencji, przychody uzyskiwane przez osoby fizyczne, poza działalnością gospodarczą, z tytułu takiej umowy, były kwalifikowane do przychodów z innych źródeł, o których mowa w </w:t>
      </w:r>
      <w:hyperlink r:id="rId11" w:anchor="/document/16794311?unitId=art(10)ust(1)pkt(9)&amp;cm=DOCUMENT" w:history="1">
        <w:r w:rsidRPr="00C30BDA">
          <w:rPr>
            <w:rFonts w:ascii="Book Antiqua" w:hAnsi="Book Antiqua"/>
            <w:sz w:val="22"/>
            <w:szCs w:val="22"/>
          </w:rPr>
          <w:t>art. 10 ust. 1 pkt 9</w:t>
        </w:r>
      </w:hyperlink>
      <w:r w:rsidRPr="00C30BDA">
        <w:rPr>
          <w:rFonts w:ascii="Book Antiqua" w:hAnsi="Book Antiqua"/>
          <w:sz w:val="22"/>
          <w:szCs w:val="22"/>
        </w:rPr>
        <w:t> ustawy PIT.</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r w:rsidRPr="00C30BDA">
        <w:rPr>
          <w:rFonts w:ascii="Book Antiqua" w:hAnsi="Book Antiqua"/>
          <w:sz w:val="22"/>
          <w:szCs w:val="22"/>
        </w:rPr>
        <w:t>Orzecznictwo sądów administracyjnych ukształtowało jednolitą, lecz odmienną od dotychczasowego stanowiska Ministerstwa Finansów, linię rozstrzygnięć w tym zakresie (wyrok NSA z dnia 9 marca 2012 r. sygn. akt </w:t>
      </w:r>
      <w:hyperlink r:id="rId12" w:anchor="/document/521231216?cm=DOCUMENT" w:history="1">
        <w:r w:rsidRPr="00C30BDA">
          <w:rPr>
            <w:rFonts w:ascii="Book Antiqua" w:hAnsi="Book Antiqua"/>
            <w:sz w:val="22"/>
            <w:szCs w:val="22"/>
          </w:rPr>
          <w:t>II FSK 1548/10</w:t>
        </w:r>
      </w:hyperlink>
      <w:r w:rsidRPr="00C30BDA">
        <w:rPr>
          <w:rFonts w:ascii="Book Antiqua" w:hAnsi="Book Antiqua"/>
          <w:sz w:val="22"/>
          <w:szCs w:val="22"/>
        </w:rPr>
        <w:t>, utrzymujący w mocy wyrok WSA w Krakowie z dnia 5 marca 2010 r. sygn. akt </w:t>
      </w:r>
      <w:hyperlink r:id="rId13" w:anchor="/document/520664361?cm=DOCUMENT" w:history="1">
        <w:r w:rsidRPr="00C30BDA">
          <w:rPr>
            <w:rFonts w:ascii="Book Antiqua" w:hAnsi="Book Antiqua"/>
            <w:sz w:val="22"/>
            <w:szCs w:val="22"/>
          </w:rPr>
          <w:t>I SA/Kr 60/10</w:t>
        </w:r>
      </w:hyperlink>
      <w:r w:rsidRPr="00C30BDA">
        <w:rPr>
          <w:rFonts w:ascii="Book Antiqua" w:hAnsi="Book Antiqua"/>
          <w:sz w:val="22"/>
          <w:szCs w:val="22"/>
        </w:rPr>
        <w:t xml:space="preserve">; wyrok NSA z dnia 19 czerwca </w:t>
      </w:r>
      <w:r w:rsidRPr="00C30BDA">
        <w:rPr>
          <w:rFonts w:ascii="Book Antiqua" w:hAnsi="Book Antiqua"/>
          <w:sz w:val="22"/>
          <w:szCs w:val="22"/>
        </w:rPr>
        <w:lastRenderedPageBreak/>
        <w:t>2012 r. sygn. akt </w:t>
      </w:r>
      <w:hyperlink r:id="rId14" w:anchor="/document/521310330?cm=DOCUMENT" w:history="1">
        <w:r w:rsidRPr="00C30BDA">
          <w:rPr>
            <w:rFonts w:ascii="Book Antiqua" w:hAnsi="Book Antiqua"/>
            <w:sz w:val="22"/>
            <w:szCs w:val="22"/>
          </w:rPr>
          <w:t>II FSK 2485/10</w:t>
        </w:r>
      </w:hyperlink>
      <w:r w:rsidRPr="00C30BDA">
        <w:rPr>
          <w:rFonts w:ascii="Book Antiqua" w:hAnsi="Book Antiqua"/>
          <w:sz w:val="22"/>
          <w:szCs w:val="22"/>
        </w:rPr>
        <w:t>, utrzymujący w mocy wyrok WSA w Warszawie z dnia 5 lipca 2010 r. sygn. akt </w:t>
      </w:r>
      <w:hyperlink r:id="rId15" w:anchor="/document/520674268?cm=DOCUMENT" w:history="1">
        <w:r w:rsidRPr="00C30BDA">
          <w:rPr>
            <w:rFonts w:ascii="Book Antiqua" w:hAnsi="Book Antiqua"/>
            <w:sz w:val="22"/>
            <w:szCs w:val="22"/>
          </w:rPr>
          <w:t>III SA/</w:t>
        </w:r>
        <w:proofErr w:type="spellStart"/>
        <w:r w:rsidRPr="00C30BDA">
          <w:rPr>
            <w:rFonts w:ascii="Book Antiqua" w:hAnsi="Book Antiqua"/>
            <w:sz w:val="22"/>
            <w:szCs w:val="22"/>
          </w:rPr>
          <w:t>Wa</w:t>
        </w:r>
        <w:proofErr w:type="spellEnd"/>
        <w:r w:rsidRPr="00C30BDA">
          <w:rPr>
            <w:rFonts w:ascii="Book Antiqua" w:hAnsi="Book Antiqua"/>
            <w:sz w:val="22"/>
            <w:szCs w:val="22"/>
          </w:rPr>
          <w:t xml:space="preserve"> 25/10</w:t>
        </w:r>
      </w:hyperlink>
      <w:r w:rsidRPr="00C30BDA">
        <w:rPr>
          <w:rFonts w:ascii="Book Antiqua" w:hAnsi="Book Antiqua"/>
          <w:sz w:val="22"/>
          <w:szCs w:val="22"/>
        </w:rPr>
        <w:t>; wyrok NSA z dnia 27 lutego 2013 r. sygn. akt </w:t>
      </w:r>
      <w:hyperlink r:id="rId16" w:anchor="/document/521404835?cm=DOCUMENT" w:history="1">
        <w:bookmarkStart w:id="0" w:name="_GoBack"/>
        <w:r w:rsidRPr="00C30BDA">
          <w:rPr>
            <w:rFonts w:ascii="Book Antiqua" w:hAnsi="Book Antiqua"/>
            <w:sz w:val="22"/>
            <w:szCs w:val="22"/>
          </w:rPr>
          <w:t>II FSK</w:t>
        </w:r>
        <w:bookmarkEnd w:id="0"/>
        <w:r w:rsidRPr="00C30BDA">
          <w:rPr>
            <w:rFonts w:ascii="Book Antiqua" w:hAnsi="Book Antiqua"/>
            <w:sz w:val="22"/>
            <w:szCs w:val="22"/>
          </w:rPr>
          <w:t xml:space="preserve"> 1305/11</w:t>
        </w:r>
      </w:hyperlink>
      <w:r w:rsidRPr="00C30BDA">
        <w:rPr>
          <w:rFonts w:ascii="Book Antiqua" w:hAnsi="Book Antiqua"/>
          <w:sz w:val="22"/>
          <w:szCs w:val="22"/>
        </w:rPr>
        <w:t>, utrzymujący w mocy wyrok WSA w Warszawie z dnia 17 stycznia 2011 r. sygn. akt </w:t>
      </w:r>
      <w:hyperlink r:id="rId17" w:anchor="/document/520851092?cm=DOCUMENT" w:history="1">
        <w:r w:rsidRPr="00C30BDA">
          <w:rPr>
            <w:rFonts w:ascii="Book Antiqua" w:hAnsi="Book Antiqua"/>
            <w:sz w:val="22"/>
            <w:szCs w:val="22"/>
          </w:rPr>
          <w:t>III SA/</w:t>
        </w:r>
        <w:proofErr w:type="spellStart"/>
        <w:r w:rsidRPr="00C30BDA">
          <w:rPr>
            <w:rFonts w:ascii="Book Antiqua" w:hAnsi="Book Antiqua"/>
            <w:sz w:val="22"/>
            <w:szCs w:val="22"/>
          </w:rPr>
          <w:t>Wa</w:t>
        </w:r>
        <w:proofErr w:type="spellEnd"/>
        <w:r w:rsidRPr="00C30BDA">
          <w:rPr>
            <w:rFonts w:ascii="Book Antiqua" w:hAnsi="Book Antiqua"/>
            <w:sz w:val="22"/>
            <w:szCs w:val="22"/>
          </w:rPr>
          <w:t xml:space="preserve"> 1448/10</w:t>
        </w:r>
      </w:hyperlink>
      <w:r w:rsidRPr="00C30BDA">
        <w:rPr>
          <w:rFonts w:ascii="Book Antiqua" w:hAnsi="Book Antiqua"/>
          <w:sz w:val="22"/>
          <w:szCs w:val="22"/>
        </w:rPr>
        <w:t>).</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r w:rsidRPr="00C30BDA">
        <w:rPr>
          <w:rFonts w:ascii="Book Antiqua" w:hAnsi="Book Antiqua"/>
          <w:sz w:val="22"/>
          <w:szCs w:val="22"/>
        </w:rPr>
        <w:t>W swoich wyrokach sądy administracyjne uznają, że wynagrodzenie otrzymywane przez osobę fizyczną zarządzającą stroną internetową należy zakwalifikować do źródła przychodów - najem, dzierżawa lub inne umowy o podobnym charakterze (</w:t>
      </w:r>
      <w:hyperlink r:id="rId18" w:anchor="/document/16794311?unitId=art(10)ust(1)pkt(6)&amp;cm=DOCUMENT" w:history="1">
        <w:r w:rsidRPr="00C30BDA">
          <w:rPr>
            <w:rFonts w:ascii="Book Antiqua" w:hAnsi="Book Antiqua"/>
            <w:sz w:val="22"/>
            <w:szCs w:val="22"/>
          </w:rPr>
          <w:t>art. 10 ust. 1 pkt 6</w:t>
        </w:r>
      </w:hyperlink>
      <w:r w:rsidRPr="00C30BDA">
        <w:rPr>
          <w:rFonts w:ascii="Book Antiqua" w:hAnsi="Book Antiqua"/>
          <w:sz w:val="22"/>
          <w:szCs w:val="22"/>
        </w:rPr>
        <w:t> ustawy PIT). Sądy orzekają, że umowa, na podstawie której jeden podmiot udostępnia innemu podmiotowi możliwość wyświetlania na stronie internetowej określonych treści (najczęściej reklamowych), jest umową nienazwaną o charakterze podobnym do najmu lub dzierżawy. Wprawdzie przedmiotem takiej umowy nie jest ani najem rzeczy, ani dzierżawa rzeczy lub prawa, jednakże następuje oddanie do używania bytu wirtualnego, jakim jest część powierzchni strony internetowej.</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r w:rsidRPr="00C30BDA">
        <w:rPr>
          <w:rFonts w:ascii="Book Antiqua" w:hAnsi="Book Antiqua"/>
          <w:sz w:val="22"/>
          <w:szCs w:val="22"/>
        </w:rPr>
        <w:t>Uwzględniając orzecznictwo sądów administracyjnych, stwierdzam, że osoba fizyczna udostępniająca na stronie internetowej miejsce w celu zamieszczenia treści o charakterze m.in. reklamowym za wynagrodzeniem uzyskuje przychód z tytułu umowy o podobnym charakterze do umowy najmu lub dzierżawy. Przychody z tego tytułu należy zakwalifikować do źródła przychodów, o którym mowa w </w:t>
      </w:r>
      <w:hyperlink r:id="rId19" w:anchor="/document/16794311?unitId=art(10)ust(1)pkt(6)&amp;cm=DOCUMENT" w:history="1">
        <w:r w:rsidRPr="00C30BDA">
          <w:rPr>
            <w:rFonts w:ascii="Book Antiqua" w:hAnsi="Book Antiqua"/>
            <w:sz w:val="22"/>
            <w:szCs w:val="22"/>
          </w:rPr>
          <w:t>art. 10 ust. 1 pkt 6</w:t>
        </w:r>
      </w:hyperlink>
      <w:r w:rsidRPr="00C30BDA">
        <w:rPr>
          <w:rFonts w:ascii="Book Antiqua" w:hAnsi="Book Antiqua"/>
          <w:sz w:val="22"/>
          <w:szCs w:val="22"/>
        </w:rPr>
        <w:t> ustawy PIT, pod warunkiem, że nie są uzyskiwane w ramach działalności gospodarczej.</w:t>
      </w:r>
    </w:p>
    <w:p w:rsidR="00C30BDA" w:rsidRPr="00C30BDA" w:rsidRDefault="00C30BDA" w:rsidP="00C30BDA">
      <w:pPr>
        <w:pStyle w:val="NormalnyWeb"/>
        <w:shd w:val="clear" w:color="auto" w:fill="FFFFFF"/>
        <w:spacing w:before="120" w:beforeAutospacing="0" w:after="150" w:afterAutospacing="0" w:line="360" w:lineRule="atLeast"/>
        <w:jc w:val="both"/>
        <w:rPr>
          <w:rFonts w:ascii="Book Antiqua" w:hAnsi="Book Antiqua"/>
          <w:sz w:val="22"/>
          <w:szCs w:val="22"/>
        </w:rPr>
      </w:pPr>
      <w:r w:rsidRPr="00C30BDA">
        <w:rPr>
          <w:rFonts w:ascii="Book Antiqua" w:hAnsi="Book Antiqua"/>
          <w:sz w:val="22"/>
          <w:szCs w:val="22"/>
        </w:rPr>
        <w:t>Dochody z tego źródła przychodów podlegają opodatkowaniu na zasadach ogólnych, według progresywnej skali podatkowej, określonej w </w:t>
      </w:r>
      <w:hyperlink r:id="rId20" w:anchor="/document/16794311?unitId=art(27)ust(1)&amp;cm=DOCUMENT" w:history="1">
        <w:r w:rsidRPr="00C30BDA">
          <w:rPr>
            <w:rFonts w:ascii="Book Antiqua" w:hAnsi="Book Antiqua"/>
            <w:sz w:val="22"/>
            <w:szCs w:val="22"/>
          </w:rPr>
          <w:t>art. 27 ust. 1</w:t>
        </w:r>
      </w:hyperlink>
      <w:r w:rsidRPr="00C30BDA">
        <w:rPr>
          <w:rFonts w:ascii="Book Antiqua" w:hAnsi="Book Antiqua"/>
          <w:sz w:val="22"/>
          <w:szCs w:val="22"/>
        </w:rPr>
        <w:t xml:space="preserve"> ustawy PIT. Podatnik ma również możliwość wyboru opodatkowania w formie ryczałtu od przychodów ewidencjonowanych, na zasadach określonych w ustawie z dnia 20 listopada 1998 r. o zryczałtowanym podatku dochodowym od niektórych przychodów osiąganych przez osoby fizyczne (Dz. U. Nr 144, poz. 930, z </w:t>
      </w:r>
      <w:proofErr w:type="spellStart"/>
      <w:r w:rsidRPr="00C30BDA">
        <w:rPr>
          <w:rFonts w:ascii="Book Antiqua" w:hAnsi="Book Antiqua"/>
          <w:sz w:val="22"/>
          <w:szCs w:val="22"/>
        </w:rPr>
        <w:t>późn</w:t>
      </w:r>
      <w:proofErr w:type="spellEnd"/>
      <w:r w:rsidRPr="00C30BDA">
        <w:rPr>
          <w:rFonts w:ascii="Book Antiqua" w:hAnsi="Book Antiqua"/>
          <w:sz w:val="22"/>
          <w:szCs w:val="22"/>
        </w:rPr>
        <w:t>. zm.).</w:t>
      </w:r>
    </w:p>
    <w:p w:rsidR="00C30BDA" w:rsidRDefault="00C30BDA" w:rsidP="004918F3">
      <w:pPr>
        <w:spacing w:before="120" w:after="150" w:line="360" w:lineRule="atLeast"/>
        <w:jc w:val="center"/>
        <w:rPr>
          <w:rFonts w:ascii="Book Antiqua" w:eastAsia="Times New Roman" w:hAnsi="Book Antiqua" w:cs="Times New Roman"/>
          <w:b/>
          <w:sz w:val="24"/>
          <w:lang w:eastAsia="pl-PL"/>
        </w:rPr>
      </w:pPr>
    </w:p>
    <w:p w:rsidR="004918F3" w:rsidRDefault="004918F3" w:rsidP="002F58B6">
      <w:pPr>
        <w:spacing w:before="120" w:after="150" w:line="360" w:lineRule="atLeast"/>
        <w:jc w:val="center"/>
        <w:rPr>
          <w:rFonts w:ascii="Book Antiqua" w:eastAsia="Times New Roman" w:hAnsi="Book Antiqua" w:cs="Times New Roman"/>
          <w:b/>
          <w:sz w:val="24"/>
          <w:lang w:eastAsia="pl-PL"/>
        </w:rPr>
      </w:pPr>
    </w:p>
    <w:sectPr w:rsidR="004918F3">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8F3" w:rsidRDefault="004918F3" w:rsidP="002F58B6">
      <w:pPr>
        <w:spacing w:after="0" w:line="240" w:lineRule="auto"/>
      </w:pPr>
      <w:r>
        <w:separator/>
      </w:r>
    </w:p>
  </w:endnote>
  <w:endnote w:type="continuationSeparator" w:id="0">
    <w:p w:rsidR="004918F3" w:rsidRDefault="004918F3" w:rsidP="002F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650532"/>
      <w:docPartObj>
        <w:docPartGallery w:val="Page Numbers (Bottom of Page)"/>
        <w:docPartUnique/>
      </w:docPartObj>
    </w:sdtPr>
    <w:sdtContent>
      <w:p w:rsidR="004918F3" w:rsidRDefault="004918F3">
        <w:pPr>
          <w:pStyle w:val="Stopka"/>
          <w:jc w:val="right"/>
        </w:pPr>
        <w:r>
          <w:fldChar w:fldCharType="begin"/>
        </w:r>
        <w:r>
          <w:instrText>PAGE   \* MERGEFORMAT</w:instrText>
        </w:r>
        <w:r>
          <w:fldChar w:fldCharType="separate"/>
        </w:r>
        <w:r w:rsidR="00C30BDA">
          <w:rPr>
            <w:noProof/>
          </w:rPr>
          <w:t>1</w:t>
        </w:r>
        <w:r>
          <w:fldChar w:fldCharType="end"/>
        </w:r>
      </w:p>
    </w:sdtContent>
  </w:sdt>
  <w:p w:rsidR="004918F3" w:rsidRDefault="004918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8F3" w:rsidRDefault="004918F3" w:rsidP="002F58B6">
      <w:pPr>
        <w:spacing w:after="0" w:line="240" w:lineRule="auto"/>
      </w:pPr>
      <w:r>
        <w:separator/>
      </w:r>
    </w:p>
  </w:footnote>
  <w:footnote w:type="continuationSeparator" w:id="0">
    <w:p w:rsidR="004918F3" w:rsidRDefault="004918F3" w:rsidP="002F58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5BCE"/>
    <w:multiLevelType w:val="multilevel"/>
    <w:tmpl w:val="5966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C7D72"/>
    <w:multiLevelType w:val="hybridMultilevel"/>
    <w:tmpl w:val="B37E8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A630A4B"/>
    <w:multiLevelType w:val="hybridMultilevel"/>
    <w:tmpl w:val="5B4CE12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B3"/>
    <w:rsid w:val="00131C7F"/>
    <w:rsid w:val="001E7470"/>
    <w:rsid w:val="00211BBF"/>
    <w:rsid w:val="002F58B6"/>
    <w:rsid w:val="00365B1A"/>
    <w:rsid w:val="004357D4"/>
    <w:rsid w:val="004918F3"/>
    <w:rsid w:val="005807B3"/>
    <w:rsid w:val="00675D1E"/>
    <w:rsid w:val="0090182C"/>
    <w:rsid w:val="00A54719"/>
    <w:rsid w:val="00B835DA"/>
    <w:rsid w:val="00B86940"/>
    <w:rsid w:val="00C041AD"/>
    <w:rsid w:val="00C30BDA"/>
    <w:rsid w:val="00E170B1"/>
    <w:rsid w:val="00E41C07"/>
    <w:rsid w:val="00EF3B06"/>
    <w:rsid w:val="00F92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C6B2C-D49F-4F84-8D7E-5C50DC2D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3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F92E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dpis1">
    <w:name w:val="Podpis1"/>
    <w:basedOn w:val="Normalny"/>
    <w:rsid w:val="00F92E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center">
    <w:name w:val="text-center"/>
    <w:basedOn w:val="Normalny"/>
    <w:rsid w:val="00F92E0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92E05"/>
    <w:rPr>
      <w:color w:val="0000FF"/>
      <w:u w:val="single"/>
    </w:rPr>
  </w:style>
  <w:style w:type="character" w:styleId="Uwydatnienie">
    <w:name w:val="Emphasis"/>
    <w:basedOn w:val="Domylnaczcionkaakapitu"/>
    <w:uiPriority w:val="20"/>
    <w:qFormat/>
    <w:rsid w:val="00F92E05"/>
    <w:rPr>
      <w:i/>
      <w:iCs/>
    </w:rPr>
  </w:style>
  <w:style w:type="paragraph" w:styleId="Nagwek">
    <w:name w:val="header"/>
    <w:basedOn w:val="Normalny"/>
    <w:link w:val="NagwekZnak"/>
    <w:uiPriority w:val="99"/>
    <w:unhideWhenUsed/>
    <w:rsid w:val="002F58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58B6"/>
  </w:style>
  <w:style w:type="paragraph" w:styleId="Stopka">
    <w:name w:val="footer"/>
    <w:basedOn w:val="Normalny"/>
    <w:link w:val="StopkaZnak"/>
    <w:uiPriority w:val="99"/>
    <w:unhideWhenUsed/>
    <w:rsid w:val="002F58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58B6"/>
  </w:style>
  <w:style w:type="paragraph" w:styleId="Akapitzlist">
    <w:name w:val="List Paragraph"/>
    <w:basedOn w:val="Normalny"/>
    <w:uiPriority w:val="34"/>
    <w:qFormat/>
    <w:rsid w:val="00B86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1986">
      <w:bodyDiv w:val="1"/>
      <w:marLeft w:val="0"/>
      <w:marRight w:val="0"/>
      <w:marTop w:val="0"/>
      <w:marBottom w:val="0"/>
      <w:divBdr>
        <w:top w:val="none" w:sz="0" w:space="0" w:color="auto"/>
        <w:left w:val="none" w:sz="0" w:space="0" w:color="auto"/>
        <w:bottom w:val="none" w:sz="0" w:space="0" w:color="auto"/>
        <w:right w:val="none" w:sz="0" w:space="0" w:color="auto"/>
      </w:divBdr>
    </w:div>
    <w:div w:id="665135341">
      <w:bodyDiv w:val="1"/>
      <w:marLeft w:val="0"/>
      <w:marRight w:val="0"/>
      <w:marTop w:val="0"/>
      <w:marBottom w:val="0"/>
      <w:divBdr>
        <w:top w:val="none" w:sz="0" w:space="0" w:color="auto"/>
        <w:left w:val="none" w:sz="0" w:space="0" w:color="auto"/>
        <w:bottom w:val="none" w:sz="0" w:space="0" w:color="auto"/>
        <w:right w:val="none" w:sz="0" w:space="0" w:color="auto"/>
      </w:divBdr>
    </w:div>
    <w:div w:id="2020347886">
      <w:bodyDiv w:val="1"/>
      <w:marLeft w:val="0"/>
      <w:marRight w:val="0"/>
      <w:marTop w:val="0"/>
      <w:marBottom w:val="0"/>
      <w:divBdr>
        <w:top w:val="none" w:sz="0" w:space="0" w:color="auto"/>
        <w:left w:val="none" w:sz="0" w:space="0" w:color="auto"/>
        <w:bottom w:val="none" w:sz="0" w:space="0" w:color="auto"/>
        <w:right w:val="none" w:sz="0" w:space="0" w:color="auto"/>
      </w:divBdr>
      <w:divsChild>
        <w:div w:id="1006588664">
          <w:marLeft w:val="0"/>
          <w:marRight w:val="0"/>
          <w:marTop w:val="0"/>
          <w:marBottom w:val="360"/>
          <w:divBdr>
            <w:top w:val="none" w:sz="0" w:space="0" w:color="auto"/>
            <w:left w:val="none" w:sz="0" w:space="0" w:color="auto"/>
            <w:bottom w:val="single" w:sz="6" w:space="9" w:color="CCCCCC"/>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 w:id="1663193124">
              <w:marLeft w:val="0"/>
              <w:marRight w:val="0"/>
              <w:marTop w:val="0"/>
              <w:marBottom w:val="0"/>
              <w:divBdr>
                <w:top w:val="none" w:sz="0" w:space="0" w:color="auto"/>
                <w:left w:val="none" w:sz="0" w:space="0" w:color="auto"/>
                <w:bottom w:val="none" w:sz="0" w:space="0" w:color="auto"/>
                <w:right w:val="none" w:sz="0" w:space="0" w:color="auto"/>
              </w:divBdr>
            </w:div>
            <w:div w:id="1425879570">
              <w:marLeft w:val="0"/>
              <w:marRight w:val="0"/>
              <w:marTop w:val="0"/>
              <w:marBottom w:val="0"/>
              <w:divBdr>
                <w:top w:val="none" w:sz="0" w:space="0" w:color="auto"/>
                <w:left w:val="none" w:sz="0" w:space="0" w:color="auto"/>
                <w:bottom w:val="none" w:sz="0" w:space="0" w:color="auto"/>
                <w:right w:val="none" w:sz="0" w:space="0" w:color="auto"/>
              </w:divBdr>
            </w:div>
            <w:div w:id="2083673689">
              <w:marLeft w:val="0"/>
              <w:marRight w:val="0"/>
              <w:marTop w:val="0"/>
              <w:marBottom w:val="0"/>
              <w:divBdr>
                <w:top w:val="none" w:sz="0" w:space="0" w:color="auto"/>
                <w:left w:val="none" w:sz="0" w:space="0" w:color="auto"/>
                <w:bottom w:val="none" w:sz="0" w:space="0" w:color="auto"/>
                <w:right w:val="none" w:sz="0" w:space="0" w:color="auto"/>
              </w:divBdr>
            </w:div>
          </w:divsChild>
        </w:div>
        <w:div w:id="738986174">
          <w:marLeft w:val="0"/>
          <w:marRight w:val="0"/>
          <w:marTop w:val="0"/>
          <w:marBottom w:val="0"/>
          <w:divBdr>
            <w:top w:val="none" w:sz="0" w:space="0" w:color="auto"/>
            <w:left w:val="none" w:sz="0" w:space="0" w:color="auto"/>
            <w:bottom w:val="none" w:sz="0" w:space="0" w:color="auto"/>
            <w:right w:val="none" w:sz="0" w:space="0" w:color="auto"/>
          </w:divBdr>
          <w:divsChild>
            <w:div w:id="798188048">
              <w:marLeft w:val="480"/>
              <w:marRight w:val="0"/>
              <w:marTop w:val="0"/>
              <w:marBottom w:val="0"/>
              <w:divBdr>
                <w:top w:val="none" w:sz="0" w:space="0" w:color="auto"/>
                <w:left w:val="none" w:sz="0" w:space="0" w:color="auto"/>
                <w:bottom w:val="none" w:sz="0" w:space="0" w:color="auto"/>
                <w:right w:val="none" w:sz="0" w:space="0" w:color="auto"/>
              </w:divBdr>
              <w:divsChild>
                <w:div w:id="621956736">
                  <w:marLeft w:val="0"/>
                  <w:marRight w:val="0"/>
                  <w:marTop w:val="0"/>
                  <w:marBottom w:val="0"/>
                  <w:divBdr>
                    <w:top w:val="none" w:sz="0" w:space="0" w:color="auto"/>
                    <w:left w:val="none" w:sz="0" w:space="0" w:color="auto"/>
                    <w:bottom w:val="none" w:sz="0" w:space="0" w:color="auto"/>
                    <w:right w:val="none" w:sz="0" w:space="0" w:color="auto"/>
                  </w:divBdr>
                  <w:divsChild>
                    <w:div w:id="287206646">
                      <w:marLeft w:val="0"/>
                      <w:marRight w:val="0"/>
                      <w:marTop w:val="0"/>
                      <w:marBottom w:val="0"/>
                      <w:divBdr>
                        <w:top w:val="none" w:sz="0" w:space="0" w:color="auto"/>
                        <w:left w:val="none" w:sz="0" w:space="0" w:color="auto"/>
                        <w:bottom w:val="none" w:sz="0" w:space="0" w:color="auto"/>
                        <w:right w:val="none" w:sz="0" w:space="0" w:color="auto"/>
                      </w:divBdr>
                    </w:div>
                    <w:div w:id="12172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CF854867</Template>
  <TotalTime>27</TotalTime>
  <Pages>2</Pages>
  <Words>841</Words>
  <Characters>5047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Stradomski</dc:creator>
  <cp:keywords/>
  <dc:description/>
  <cp:lastModifiedBy>Filip Stradomski</cp:lastModifiedBy>
  <cp:revision>12</cp:revision>
  <dcterms:created xsi:type="dcterms:W3CDTF">2017-11-22T14:42:00Z</dcterms:created>
  <dcterms:modified xsi:type="dcterms:W3CDTF">2017-11-28T09:12:00Z</dcterms:modified>
</cp:coreProperties>
</file>