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843E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CONTRACT DE COLABORARE</w:t>
      </w:r>
    </w:p>
    <w:p w14:paraId="6CCF148A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PRIVIND FURNIZAREA SERVICIILOR SEO</w:t>
      </w:r>
    </w:p>
    <w:p w14:paraId="5F53E00D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73E8C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742F3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901FB2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1CCB13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…………………………………..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………………..………………………,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 ………….. sub nr. KRS: …………………………………..., nr. NIP: ………………….., nr. REGON: ………… ……………….,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social: 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de:</w:t>
      </w:r>
    </w:p>
    <w:p w14:paraId="55A788D1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38AFF1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 - ……..……..….,</w:t>
      </w:r>
    </w:p>
    <w:p w14:paraId="74C2673F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Ordonatorul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</w:t>
      </w:r>
    </w:p>
    <w:p w14:paraId="60FFCCA7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</w:p>
    <w:p w14:paraId="505B0ABE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80053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…………………………………..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………………..………………….….,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 ……………. sub nr. KRS: ………………………………….., nr. NIP: ………….., nr. REGON: ………………………….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social: ………………..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de:</w:t>
      </w:r>
    </w:p>
    <w:p w14:paraId="60F1602B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 - ……..……..….,</w:t>
      </w:r>
    </w:p>
    <w:p w14:paraId="270340AB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</w:t>
      </w:r>
    </w:p>
    <w:p w14:paraId="42D49AF1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48D994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individual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2CFEE4A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DF55989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Având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vedere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</w:p>
    <w:p w14:paraId="5878AFA4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8F6FC5F" w14:textId="77777777" w:rsidR="00DB27BD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Ordonatorul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proprietarul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ului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dorește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externalizeze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îmbunătățirii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vizibilității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recunoașterii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63CA187" w14:textId="77777777" w:rsidR="00DB27BD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desfășoară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profesională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organizată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realizării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audituri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specializate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poziționare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website-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F0D89C9" w14:textId="77777777" w:rsidR="00DB27BD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Ordonatorul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interesat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folosească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suportul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56BEABE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ind w:left="6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8194547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ind w:left="6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Părțile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convin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urmează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5C838EDB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0C4E23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791E61BD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Contractului</w:t>
      </w:r>
      <w:proofErr w:type="spellEnd"/>
    </w:p>
    <w:p w14:paraId="1D988560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417522" w14:textId="77777777" w:rsidR="00DB27BD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optimizare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website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deținut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subpaginile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conținuturi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la:... ...........................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website-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D37A193" w14:textId="77777777" w:rsidR="00DB27BD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la Contract.</w:t>
      </w:r>
    </w:p>
    <w:p w14:paraId="2A3E4092" w14:textId="77777777" w:rsidR="00DB27BD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prestează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Obiectul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calificările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calificări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autorizații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3FF569" w14:textId="77777777" w:rsidR="00DB27BD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furniza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plan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detaliat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anumită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calendaristică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684D9" w14:textId="77777777" w:rsidR="00DB27BD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137284" w14:textId="77777777" w:rsidR="00DB27BD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website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acoperite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</w:p>
    <w:p w14:paraId="2B1D0B32" w14:textId="77777777" w:rsidR="00DB27BD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7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vizualizări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măsurabile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de ......... 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§ 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din Contract.</w:t>
      </w:r>
    </w:p>
    <w:p w14:paraId="14433D75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995F22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</w:p>
    <w:p w14:paraId="00E38CF2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Remunerația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Contrac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tant</w:t>
      </w:r>
      <w:proofErr w:type="spellEnd"/>
    </w:p>
    <w:p w14:paraId="34A2E17A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B0DCB0" w14:textId="77777777" w:rsidR="00DB27BD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remunerație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forfetară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………… PLN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Zloți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polonezi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00/100) ) net,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taxa 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(TVA)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calculat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reglementările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aplicabile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F2957" w14:textId="77777777" w:rsidR="00DB27BD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Remunerația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Secțiunea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plătită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termen de 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TVA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emisă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-un transfer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bancar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bancar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factură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B19EDB" w14:textId="77777777" w:rsidR="00DB27BD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întârzie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remunerației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depășește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să-și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restante.</w:t>
      </w:r>
    </w:p>
    <w:p w14:paraId="182836DD" w14:textId="77777777" w:rsidR="00DB27BD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neachitării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datorate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factură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percepe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dobândă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întârziere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dobând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întârzierea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tranzacțiilor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comerciale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CD8723" w14:textId="77777777" w:rsidR="00DB27BD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6352A" w14:textId="77777777" w:rsidR="00DB27B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Durata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Contractului</w:t>
      </w:r>
      <w:proofErr w:type="spellEnd"/>
    </w:p>
    <w:p w14:paraId="1AF251DE" w14:textId="77777777" w:rsidR="00DB27BD" w:rsidRDefault="00000000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data de 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nedeterminată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3B81AC" w14:textId="77777777" w:rsidR="00DB27BD" w:rsidRDefault="00000000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preaviz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sfârșitul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EA7D06" w14:textId="77777777" w:rsidR="00DB27BD" w:rsidRDefault="00000000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moment,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împiedicat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execute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incapacitatea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parole,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B2B58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4A927A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Răspunderea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Contractantului</w:t>
      </w:r>
      <w:proofErr w:type="spellEnd"/>
    </w:p>
    <w:p w14:paraId="34E24569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8DA6FB" w14:textId="77777777" w:rsidR="00DB27BD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necorespunzătoare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neexecutarea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daunele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suferite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efectiv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4BE338" w14:textId="77777777" w:rsidR="00DB27BD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Secțiunea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..... –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remunerația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58B4BC" w14:textId="77777777" w:rsidR="00DB27BD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răspunzător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pierdute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1A5E85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9066F" w14:textId="77777777" w:rsidR="00DB27B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Confiden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țialitate</w:t>
      </w:r>
      <w:proofErr w:type="spellEnd"/>
    </w:p>
    <w:p w14:paraId="3D689C60" w14:textId="77777777" w:rsidR="00DB27BD" w:rsidRDefault="00DB27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43F6B9" w14:textId="77777777" w:rsidR="00DB27BD" w:rsidRDefault="00000000">
      <w:pPr>
        <w:widowControl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5 ani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păstreze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confidențialitatea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întreprinderii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afiliate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confidențiale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special:</w:t>
      </w:r>
    </w:p>
    <w:p w14:paraId="575D0DF8" w14:textId="77777777" w:rsidR="00DB27BD" w:rsidRDefault="00000000">
      <w:pPr>
        <w:widowControl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tehnologice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marketing,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EDB930" w14:textId="77777777" w:rsidR="00DB27BD" w:rsidRDefault="00000000">
      <w:pPr>
        <w:widowControl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know-how;</w:t>
      </w:r>
    </w:p>
    <w:p w14:paraId="65E634F6" w14:textId="77777777" w:rsidR="00DB27BD" w:rsidRDefault="00000000">
      <w:pPr>
        <w:widowControl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corespondență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date;</w:t>
      </w:r>
    </w:p>
    <w:p w14:paraId="4B8AA8FE" w14:textId="77777777" w:rsidR="00DB27BD" w:rsidRDefault="00000000">
      <w:pPr>
        <w:widowControl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81FA22" w14:textId="77777777" w:rsidR="00DB27BD" w:rsidRDefault="00000000">
      <w:pPr>
        <w:widowControl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software,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65A65F" w14:textId="77777777" w:rsidR="00DB27BD" w:rsidRDefault="00000000">
      <w:pPr>
        <w:widowControl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afiliate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art. 11,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concurenței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neloiale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C50F1" w14:textId="77777777" w:rsidR="00DB27BD" w:rsidRDefault="00000000">
      <w:pPr>
        <w:widowControl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confidențiale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cunoscute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obișnuit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(ii)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difuzate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mass-media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radio,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televiziune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Internet, (iii)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făcute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încălcării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AA23DD" w14:textId="77777777" w:rsidR="00DB27BD" w:rsidRDefault="00000000">
      <w:pPr>
        <w:widowControl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Obligația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confidențialitate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care se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alăturat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(§ 4) include,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conținutul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aranjamentele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2EA7DC" w14:textId="77777777" w:rsidR="00DB27BD" w:rsidRDefault="00000000">
      <w:pPr>
        <w:widowControl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încălcării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confidențialitate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(§ 4),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plătească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................... PLN (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zloți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polonezi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00/100)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încălcare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A5CD6" w14:textId="77777777" w:rsidR="00DB27BD" w:rsidRDefault="00000000">
      <w:pPr>
        <w:widowControl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nu exclude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vătămate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daune-interese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depășesc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rezervate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F88D9A" w14:textId="77777777" w:rsidR="00DB27BD" w:rsidRDefault="00DB27BD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5D438F" w14:textId="77777777" w:rsidR="00DB27BD" w:rsidRDefault="00000000">
      <w:pPr>
        <w:widowControl/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Dispoziții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Finale</w:t>
      </w:r>
    </w:p>
    <w:p w14:paraId="02F58D09" w14:textId="77777777" w:rsidR="00DB27BD" w:rsidRDefault="00000000">
      <w:pPr>
        <w:widowControl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sunt:</w:t>
      </w:r>
    </w:p>
    <w:p w14:paraId="21303BB5" w14:textId="77777777" w:rsidR="00DB27B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…………… .., e-mail: …………………, tel. ………………;</w:t>
      </w:r>
    </w:p>
    <w:p w14:paraId="526F5364" w14:textId="77777777" w:rsidR="00DB27B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</w:t>
      </w:r>
      <w:r>
        <w:rPr>
          <w:rFonts w:ascii="Times New Roman" w:eastAsia="Times New Roman" w:hAnsi="Times New Roman" w:cs="Times New Roman"/>
          <w:sz w:val="24"/>
          <w:szCs w:val="24"/>
        </w:rPr>
        <w:t>tantului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……………….., e-mail: …………………, tel. ……………… .</w:t>
      </w:r>
    </w:p>
    <w:p w14:paraId="13DEFC7F" w14:textId="77777777" w:rsidR="00DB27BD" w:rsidRDefault="00000000">
      <w:pPr>
        <w:widowControl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schimbare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contact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reciprocă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94D74" w14:textId="77777777" w:rsidR="00DB27BD" w:rsidRDefault="00000000">
      <w:pPr>
        <w:widowControl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invalide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6D599E" w14:textId="77777777" w:rsidR="00DB27BD" w:rsidRDefault="00000000">
      <w:pPr>
        <w:widowControl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reglementate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poloneze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</w:p>
    <w:p w14:paraId="0013F39F" w14:textId="77777777" w:rsidR="00DB27BD" w:rsidRDefault="00000000">
      <w:pPr>
        <w:widowControl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litigii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apărute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soluționări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litigiului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litigiul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soluționat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5B97C" w14:textId="77777777" w:rsidR="00DB27BD" w:rsidRDefault="00000000">
      <w:pPr>
        <w:widowControl/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exemplar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98FA7" w14:textId="77777777" w:rsidR="00DB27BD" w:rsidRDefault="00DB27BD">
      <w:pPr>
        <w:widowControl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8FDB6" w14:textId="77777777" w:rsidR="00DB27BD" w:rsidRDefault="00000000">
      <w:pPr>
        <w:widowControl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5A031D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63AC3" w14:textId="77777777" w:rsidR="00DB27BD" w:rsidRDefault="00000000">
      <w:pPr>
        <w:widowControl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Ordonatorului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7932C4" w14:textId="77777777" w:rsidR="00DB27BD" w:rsidRDefault="00DB27BD">
      <w:pPr>
        <w:widowControl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D60A5" w14:textId="77777777" w:rsidR="00DB27BD" w:rsidRDefault="00000000">
      <w:pPr>
        <w:widowControl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14:paraId="719172CE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73EE3302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7BC68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38BD1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7A6F2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C5979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13C57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4B716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0ACE6" w14:textId="77777777" w:rsidR="00DB27BD" w:rsidRDefault="00000000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ANEXA NR. 1 </w:t>
      </w:r>
    </w:p>
    <w:p w14:paraId="4A75A83B" w14:textId="77777777" w:rsidR="00DB27BD" w:rsidRDefault="00000000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data de ...........................</w:t>
      </w:r>
    </w:p>
    <w:p w14:paraId="1EC3AD83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43868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4C1FF" w14:textId="77777777" w:rsidR="00DB27BD" w:rsidRDefault="00000000">
      <w:pPr>
        <w:widowControl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DOMENIUL ACTIVITĂȚILOR CONTRACTANTULUI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ca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optimizării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poziționării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website-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ului</w:t>
      </w:r>
      <w:proofErr w:type="spellEnd"/>
    </w:p>
    <w:p w14:paraId="4FA35A22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5A5FD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SEO</w:t>
      </w:r>
    </w:p>
    <w:p w14:paraId="617DBA5E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frazelor-cheie</w:t>
      </w:r>
      <w:proofErr w:type="spellEnd"/>
    </w:p>
    <w:p w14:paraId="2F6391B9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optimizarea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meta-tag-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subpagini</w:t>
      </w:r>
      <w:proofErr w:type="spellEnd"/>
    </w:p>
    <w:p w14:paraId="19DA3D6D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site-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</w:p>
    <w:p w14:paraId="6473428E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</w:t>
      </w:r>
    </w:p>
    <w:p w14:paraId="34CD3820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responsiveness a website-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mobile</w:t>
      </w:r>
    </w:p>
    <w:p w14:paraId="3FEEE4BD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erorilor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404</w:t>
      </w:r>
    </w:p>
    <w:p w14:paraId="4AC9FA94" w14:textId="77777777" w:rsidR="00DB27BD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redirecționare</w:t>
      </w:r>
      <w:proofErr w:type="spellEnd"/>
    </w:p>
    <w:p w14:paraId="419EEA64" w14:textId="77777777" w:rsidR="00DB27BD" w:rsidRDefault="00DB27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2C404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67E16" w14:textId="77777777" w:rsidR="00DB27BD" w:rsidRDefault="00DB27BD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B27BD">
      <w:headerReference w:type="default" r:id="rId8"/>
      <w:footerReference w:type="default" r:id="rId9"/>
      <w:pgSz w:w="11906" w:h="16838"/>
      <w:pgMar w:top="2268" w:right="1080" w:bottom="1843" w:left="1080" w:header="708" w:footer="5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6C46" w14:textId="77777777" w:rsidR="00BA0603" w:rsidRDefault="00BA0603">
      <w:pPr>
        <w:spacing w:after="0" w:line="240" w:lineRule="auto"/>
      </w:pPr>
      <w:r>
        <w:separator/>
      </w:r>
    </w:p>
  </w:endnote>
  <w:endnote w:type="continuationSeparator" w:id="0">
    <w:p w14:paraId="5A5B3ADC" w14:textId="77777777" w:rsidR="00BA0603" w:rsidRDefault="00BA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8934" w14:textId="77777777" w:rsidR="00DB27B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proofErr w:type="spellStart"/>
    <w:r>
      <w:rPr>
        <w:b/>
        <w:color w:val="000000"/>
      </w:rPr>
      <w:t>WhitePress</w:t>
    </w:r>
    <w:proofErr w:type="spellEnd"/>
    <w:r>
      <w:rPr>
        <w:b/>
        <w:color w:val="000000"/>
      </w:rPr>
      <w:t xml:space="preserve"> sp. z </w:t>
    </w:r>
    <w:proofErr w:type="spellStart"/>
    <w:r>
      <w:rPr>
        <w:b/>
        <w:color w:val="000000"/>
      </w:rPr>
      <w:t>o.o.</w:t>
    </w:r>
    <w:proofErr w:type="spellEnd"/>
    <w:r>
      <w:rPr>
        <w:noProof/>
      </w:rPr>
      <w:drawing>
        <wp:anchor distT="0" distB="0" distL="114300" distR="114300" simplePos="0" relativeHeight="251659264" behindDoc="0" locked="0" layoutInCell="1" hidden="0" allowOverlap="1" wp14:anchorId="12957171" wp14:editId="0A2DC1AA">
          <wp:simplePos x="0" y="0"/>
          <wp:positionH relativeFrom="colum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035" cy="217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586529" w14:textId="77777777" w:rsidR="00DB27B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43-300 </w:t>
    </w:r>
    <w:proofErr w:type="spellStart"/>
    <w:r>
      <w:rPr>
        <w:color w:val="000000"/>
        <w:sz w:val="18"/>
        <w:szCs w:val="18"/>
      </w:rPr>
      <w:t>Bielsko-Biała</w:t>
    </w:r>
    <w:proofErr w:type="spellEnd"/>
  </w:p>
  <w:p w14:paraId="0D2DA47F" w14:textId="77777777" w:rsidR="00DB27B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ul</w:t>
    </w:r>
    <w:proofErr w:type="spellEnd"/>
    <w:r>
      <w:rPr>
        <w:color w:val="000000"/>
        <w:sz w:val="18"/>
        <w:szCs w:val="18"/>
      </w:rPr>
      <w:t xml:space="preserve">. </w:t>
    </w:r>
    <w:proofErr w:type="spellStart"/>
    <w:r>
      <w:rPr>
        <w:color w:val="000000"/>
        <w:sz w:val="18"/>
        <w:szCs w:val="18"/>
      </w:rPr>
      <w:t>Legionów</w:t>
    </w:r>
    <w:proofErr w:type="spellEnd"/>
    <w:r>
      <w:rPr>
        <w:color w:val="000000"/>
        <w:sz w:val="18"/>
        <w:szCs w:val="18"/>
      </w:rPr>
      <w:t xml:space="preserve"> 26/28</w:t>
    </w:r>
  </w:p>
  <w:p w14:paraId="2B0C645F" w14:textId="77777777" w:rsidR="00DB27B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Page</w:t>
    </w:r>
    <w:r>
      <w:rPr>
        <w:color w:val="000000"/>
        <w:sz w:val="18"/>
        <w:szCs w:val="18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1FA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of</w:t>
    </w:r>
    <w:r>
      <w:rPr>
        <w:color w:val="000000"/>
        <w:sz w:val="18"/>
        <w:szCs w:val="18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91FA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EBA9" w14:textId="77777777" w:rsidR="00BA0603" w:rsidRDefault="00BA0603">
      <w:pPr>
        <w:spacing w:after="0" w:line="240" w:lineRule="auto"/>
      </w:pPr>
      <w:r>
        <w:separator/>
      </w:r>
    </w:p>
  </w:footnote>
  <w:footnote w:type="continuationSeparator" w:id="0">
    <w:p w14:paraId="35BDCA9F" w14:textId="77777777" w:rsidR="00BA0603" w:rsidRDefault="00BA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C33F" w14:textId="589FE085" w:rsidR="00DB27BD" w:rsidRDefault="00D91FA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D4A6C" wp14:editId="5B0A7D36">
          <wp:simplePos x="0" y="0"/>
          <wp:positionH relativeFrom="page">
            <wp:posOffset>9525</wp:posOffset>
          </wp:positionH>
          <wp:positionV relativeFrom="paragraph">
            <wp:posOffset>-448945</wp:posOffset>
          </wp:positionV>
          <wp:extent cx="7535819" cy="121920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819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87B"/>
    <w:multiLevelType w:val="multilevel"/>
    <w:tmpl w:val="AD0E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BE3557"/>
    <w:multiLevelType w:val="multilevel"/>
    <w:tmpl w:val="36C0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1708"/>
    <w:multiLevelType w:val="multilevel"/>
    <w:tmpl w:val="9F8A0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3088"/>
    <w:multiLevelType w:val="multilevel"/>
    <w:tmpl w:val="1BD2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D84DA7"/>
    <w:multiLevelType w:val="multilevel"/>
    <w:tmpl w:val="958CC2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92B33CD"/>
    <w:multiLevelType w:val="multilevel"/>
    <w:tmpl w:val="14624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340C"/>
    <w:multiLevelType w:val="multilevel"/>
    <w:tmpl w:val="C226D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70AF6"/>
    <w:multiLevelType w:val="multilevel"/>
    <w:tmpl w:val="4504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A4B5F"/>
    <w:multiLevelType w:val="multilevel"/>
    <w:tmpl w:val="7DAE12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0F6DF4"/>
    <w:multiLevelType w:val="multilevel"/>
    <w:tmpl w:val="051EBC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D4559"/>
    <w:multiLevelType w:val="multilevel"/>
    <w:tmpl w:val="3836BD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43047">
    <w:abstractNumId w:val="10"/>
  </w:num>
  <w:num w:numId="2" w16cid:durableId="1942644420">
    <w:abstractNumId w:val="8"/>
  </w:num>
  <w:num w:numId="3" w16cid:durableId="185951675">
    <w:abstractNumId w:val="4"/>
  </w:num>
  <w:num w:numId="4" w16cid:durableId="176047830">
    <w:abstractNumId w:val="7"/>
  </w:num>
  <w:num w:numId="5" w16cid:durableId="270475915">
    <w:abstractNumId w:val="1"/>
  </w:num>
  <w:num w:numId="6" w16cid:durableId="1045132095">
    <w:abstractNumId w:val="2"/>
  </w:num>
  <w:num w:numId="7" w16cid:durableId="781918621">
    <w:abstractNumId w:val="5"/>
  </w:num>
  <w:num w:numId="8" w16cid:durableId="234824563">
    <w:abstractNumId w:val="6"/>
  </w:num>
  <w:num w:numId="9" w16cid:durableId="21906295">
    <w:abstractNumId w:val="3"/>
  </w:num>
  <w:num w:numId="10" w16cid:durableId="487751360">
    <w:abstractNumId w:val="9"/>
  </w:num>
  <w:num w:numId="11" w16cid:durableId="2131394447">
    <w:abstractNumId w:val="0"/>
  </w:num>
  <w:num w:numId="12" w16cid:durableId="1717971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955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6599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0423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003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592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154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59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9340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084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9813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010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9153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4307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7440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2325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496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7730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022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045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4656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860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796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8019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2171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0347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7956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82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1723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2216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75453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BD"/>
    <w:rsid w:val="00BA0603"/>
    <w:rsid w:val="00D91FAA"/>
    <w:rsid w:val="00D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32269"/>
  <w15:docId w15:val="{D9CEBA3C-2B8A-4E35-81B6-9696106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bCs/>
      <w:color w:val="7030A0"/>
    </w:rPr>
  </w:style>
  <w:style w:type="character" w:customStyle="1" w:styleId="ListLabel3">
    <w:name w:val="ListLabel 3"/>
    <w:rPr>
      <w:b/>
      <w:bCs w:val="0"/>
    </w:rPr>
  </w:style>
  <w:style w:type="numbering" w:customStyle="1" w:styleId="WWNum1">
    <w:name w:val="WWNum1"/>
    <w:basedOn w:val="Bezlisty"/>
  </w:style>
  <w:style w:type="numbering" w:customStyle="1" w:styleId="WWNum2">
    <w:name w:val="WWNum2"/>
    <w:basedOn w:val="Bezlisty"/>
  </w:style>
  <w:style w:type="numbering" w:customStyle="1" w:styleId="WWNum3">
    <w:name w:val="WWNum3"/>
    <w:basedOn w:val="Bezlisty"/>
  </w:style>
  <w:style w:type="numbering" w:customStyle="1" w:styleId="WWNum4">
    <w:name w:val="WWNum4"/>
    <w:basedOn w:val="Bezlisty"/>
  </w:style>
  <w:style w:type="numbering" w:customStyle="1" w:styleId="WWNum5">
    <w:name w:val="WWNum5"/>
    <w:basedOn w:val="Bezlisty"/>
  </w:style>
  <w:style w:type="numbering" w:customStyle="1" w:styleId="WWNum6">
    <w:name w:val="WWNum6"/>
    <w:basedOn w:val="Bezlisty"/>
  </w:style>
  <w:style w:type="numbering" w:customStyle="1" w:styleId="WWNum7">
    <w:name w:val="WWNum7"/>
    <w:basedOn w:val="Bezlisty"/>
  </w:style>
  <w:style w:type="numbering" w:customStyle="1" w:styleId="WWNum8">
    <w:name w:val="WWNum8"/>
    <w:basedOn w:val="Bezlisty"/>
  </w:style>
  <w:style w:type="numbering" w:customStyle="1" w:styleId="WWNum9">
    <w:name w:val="WWNum9"/>
    <w:basedOn w:val="Bezlisty"/>
  </w:style>
  <w:style w:type="numbering" w:customStyle="1" w:styleId="WWNum10">
    <w:name w:val="WWNum10"/>
    <w:basedOn w:val="Bezlisty"/>
  </w:style>
  <w:style w:type="numbering" w:customStyle="1" w:styleId="WWNum11">
    <w:name w:val="WWNum11"/>
    <w:basedOn w:val="Bezlisty"/>
  </w:style>
  <w:style w:type="numbering" w:customStyle="1" w:styleId="WWNum12">
    <w:name w:val="WWNum12"/>
    <w:basedOn w:val="Bezlisty"/>
  </w:style>
  <w:style w:type="numbering" w:customStyle="1" w:styleId="WWNum13">
    <w:name w:val="WWNum13"/>
    <w:basedOn w:val="Bezlisty"/>
  </w:style>
  <w:style w:type="numbering" w:customStyle="1" w:styleId="WWNum14">
    <w:name w:val="WWNum14"/>
    <w:basedOn w:val="Bezlisty"/>
  </w:style>
  <w:style w:type="numbering" w:customStyle="1" w:styleId="WWNum15">
    <w:name w:val="WWNum15"/>
    <w:basedOn w:val="Bezlisty"/>
  </w:style>
  <w:style w:type="numbering" w:customStyle="1" w:styleId="WWNum16">
    <w:name w:val="WWNum16"/>
    <w:basedOn w:val="Bezlisty"/>
  </w:style>
  <w:style w:type="numbering" w:customStyle="1" w:styleId="WWNum17">
    <w:name w:val="WWNum17"/>
    <w:basedOn w:val="Bezlisty"/>
  </w:style>
  <w:style w:type="numbering" w:customStyle="1" w:styleId="WWNum18">
    <w:name w:val="WWNum18"/>
    <w:basedOn w:val="Bezlisty"/>
  </w:style>
  <w:style w:type="numbering" w:customStyle="1" w:styleId="WWNum19">
    <w:name w:val="WWNum19"/>
    <w:basedOn w:val="Bezlisty"/>
  </w:style>
  <w:style w:type="numbering" w:customStyle="1" w:styleId="WWNum20">
    <w:name w:val="WWNum20"/>
    <w:basedOn w:val="Bezlisty"/>
  </w:style>
  <w:style w:type="numbering" w:customStyle="1" w:styleId="WWNum21">
    <w:name w:val="WWNum21"/>
    <w:basedOn w:val="Bezlisty"/>
  </w:style>
  <w:style w:type="numbering" w:customStyle="1" w:styleId="WWNum22">
    <w:name w:val="WWNum22"/>
    <w:basedOn w:val="Bezlisty"/>
  </w:style>
  <w:style w:type="numbering" w:customStyle="1" w:styleId="WWNum23">
    <w:name w:val="WWNum23"/>
    <w:basedOn w:val="Bezlisty"/>
  </w:style>
  <w:style w:type="numbering" w:customStyle="1" w:styleId="WWNum24">
    <w:name w:val="WWNum24"/>
    <w:basedOn w:val="Bezlisty"/>
  </w:style>
  <w:style w:type="numbering" w:customStyle="1" w:styleId="WWNum25">
    <w:name w:val="WWNum25"/>
    <w:basedOn w:val="Bezlisty"/>
  </w:style>
  <w:style w:type="numbering" w:customStyle="1" w:styleId="WWNum26">
    <w:name w:val="WWNum26"/>
    <w:basedOn w:val="Bezlisty"/>
  </w:style>
  <w:style w:type="numbering" w:customStyle="1" w:styleId="WWNum27">
    <w:name w:val="WWNum27"/>
    <w:basedOn w:val="Bezlisty"/>
  </w:style>
  <w:style w:type="numbering" w:customStyle="1" w:styleId="WWNum28">
    <w:name w:val="WWNum28"/>
    <w:basedOn w:val="Bezlisty"/>
  </w:style>
  <w:style w:type="numbering" w:customStyle="1" w:styleId="WWNum29">
    <w:name w:val="WWNum29"/>
    <w:basedOn w:val="Bezlisty"/>
  </w:style>
  <w:style w:type="numbering" w:customStyle="1" w:styleId="WWNum30">
    <w:name w:val="WWNum30"/>
    <w:basedOn w:val="Bezlisty"/>
  </w:style>
  <w:style w:type="numbering" w:customStyle="1" w:styleId="WWNum31">
    <w:name w:val="WWNum31"/>
    <w:basedOn w:val="Bezlisty"/>
  </w:style>
  <w:style w:type="numbering" w:customStyle="1" w:styleId="WWNum32">
    <w:name w:val="WWNum32"/>
    <w:basedOn w:val="Bezlisty"/>
  </w:style>
  <w:style w:type="numbering" w:customStyle="1" w:styleId="WWNum33">
    <w:name w:val="WWNum33"/>
    <w:basedOn w:val="Bezlisty"/>
  </w:style>
  <w:style w:type="numbering" w:customStyle="1" w:styleId="WWNum34">
    <w:name w:val="WWNum34"/>
    <w:basedOn w:val="Bezlisty"/>
  </w:style>
  <w:style w:type="numbering" w:customStyle="1" w:styleId="WWNum35">
    <w:name w:val="WWNum35"/>
    <w:basedOn w:val="Bezlisty"/>
  </w:style>
  <w:style w:type="numbering" w:customStyle="1" w:styleId="WWNum36">
    <w:name w:val="WWNum36"/>
    <w:basedOn w:val="Bezlisty"/>
  </w:style>
  <w:style w:type="numbering" w:customStyle="1" w:styleId="WWNum37">
    <w:name w:val="WWNum37"/>
    <w:basedOn w:val="Bezlisty"/>
  </w:style>
  <w:style w:type="numbering" w:customStyle="1" w:styleId="WWNum38">
    <w:name w:val="WWNum38"/>
    <w:basedOn w:val="Bezlisty"/>
  </w:style>
  <w:style w:type="numbering" w:customStyle="1" w:styleId="WWNum39">
    <w:name w:val="WWNum39"/>
    <w:basedOn w:val="Bezlisty"/>
  </w:style>
  <w:style w:type="numbering" w:customStyle="1" w:styleId="WWNum40">
    <w:name w:val="WWNum40"/>
    <w:basedOn w:val="Bezlisty"/>
  </w:style>
  <w:style w:type="numbering" w:customStyle="1" w:styleId="WWNum41">
    <w:name w:val="WWNum41"/>
    <w:basedOn w:val="Bezlisty"/>
  </w:style>
  <w:style w:type="numbering" w:customStyle="1" w:styleId="WWNum42">
    <w:name w:val="WWNum42"/>
    <w:basedOn w:val="Bezlisty"/>
  </w:style>
  <w:style w:type="paragraph" w:styleId="Akapitzlist">
    <w:name w:val="List Paragraph"/>
    <w:basedOn w:val="Normalny"/>
    <w:uiPriority w:val="34"/>
    <w:qFormat/>
    <w:rsid w:val="006C74C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62kU2ML2TiPUC1wJVzRmXamgUQ==">AMUW2mWQWzSlGm786F52UbdjPbBO0C0p1e6v7HF+SjlGr3S4LdN9QZShcgYntf3f8zJ0uIJYGpsSca4EN0jvzY+CKqN6udjHllZWNuCfcNuvpRGH/ZpvCsfm4J77c9EToJnM4U7msejg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WhitePress</dc:creator>
  <cp:lastModifiedBy>Admin</cp:lastModifiedBy>
  <cp:revision>2</cp:revision>
  <dcterms:created xsi:type="dcterms:W3CDTF">2022-02-24T08:39:00Z</dcterms:created>
  <dcterms:modified xsi:type="dcterms:W3CDTF">2022-10-11T11:15:00Z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